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5601D" w:rsidRDefault="005650AA">
      <w:pPr>
        <w:pStyle w:val="Standard"/>
        <w:spacing w:line="360" w:lineRule="auto"/>
        <w:jc w:val="both"/>
        <w:rPr>
          <w:rFonts w:eastAsia="Symbol"/>
          <w:b/>
          <w:bCs/>
        </w:rPr>
      </w:pPr>
      <w:bookmarkStart w:id="0" w:name="_GoBack"/>
      <w:bookmarkEnd w:id="0"/>
      <w:r>
        <w:rPr>
          <w:rFonts w:eastAsia="Symbol" w:cs="Times New Roman"/>
          <w:b/>
          <w:bCs/>
        </w:rPr>
        <w:t>Pillole mensili</w:t>
      </w:r>
    </w:p>
    <w:p w:rsidR="0095601D" w:rsidRDefault="005650AA">
      <w:pPr>
        <w:pStyle w:val="Standard"/>
        <w:spacing w:line="360" w:lineRule="auto"/>
        <w:jc w:val="both"/>
        <w:rPr>
          <w:rFonts w:eastAsia="Symbol"/>
          <w:b/>
          <w:bCs/>
        </w:rPr>
      </w:pPr>
      <w:r>
        <w:rPr>
          <w:rFonts w:eastAsia="Symbol" w:cs="Times New Roman"/>
          <w:b/>
          <w:bCs/>
        </w:rPr>
        <w:t>Ottobre 2021 - La crescita staturo-ponderale in età pediatrica e età adulta</w:t>
      </w:r>
    </w:p>
    <w:p w:rsidR="0095601D" w:rsidRDefault="0095601D">
      <w:pPr>
        <w:pStyle w:val="Standard"/>
        <w:spacing w:line="360" w:lineRule="auto"/>
        <w:jc w:val="both"/>
        <w:rPr>
          <w:rFonts w:eastAsia="Symbol" w:cs="Times New Roman"/>
          <w:bCs/>
        </w:rPr>
      </w:pPr>
    </w:p>
    <w:p w:rsidR="0095601D" w:rsidRDefault="005650AA">
      <w:pPr>
        <w:pStyle w:val="Standard"/>
        <w:spacing w:line="360" w:lineRule="auto"/>
        <w:jc w:val="both"/>
      </w:pPr>
      <w:r>
        <w:rPr>
          <w:rFonts w:eastAsia="Symbol" w:cs="Times New Roman"/>
          <w:bCs/>
        </w:rPr>
        <w:t>La crescita somatica nella sindrome di Rubinstein-Taybi (RSTS; OMIM #</w:t>
      </w:r>
      <w:r>
        <w:rPr>
          <w:rFonts w:eastAsia="Symbol" w:cs="Times New Roman"/>
        </w:rPr>
        <w:t>180849</w:t>
      </w:r>
      <w:r>
        <w:rPr>
          <w:rFonts w:eastAsia="Symbol" w:cs="Times New Roman"/>
        </w:rPr>
        <w:t>, #613684</w:t>
      </w:r>
      <w:r>
        <w:rPr>
          <w:rFonts w:eastAsia="Symbol" w:cs="Times New Roman"/>
          <w:bCs/>
        </w:rPr>
        <w:t xml:space="preserve">) </w:t>
      </w:r>
      <w:r>
        <w:rPr>
          <w:rFonts w:eastAsia="Symbol" w:cs="Times New Roman"/>
          <w:bCs/>
          <w:shd w:val="clear" w:color="auto" w:fill="FFFFFF"/>
        </w:rPr>
        <w:t xml:space="preserve">è peculiare. Alla nascita i parametri auxologici si </w:t>
      </w:r>
      <w:r>
        <w:rPr>
          <w:rFonts w:eastAsia="Symbol" w:cs="Times New Roman"/>
          <w:bCs/>
          <w:shd w:val="clear" w:color="auto" w:fill="FFFFFF"/>
        </w:rPr>
        <w:t>collocano tra il 25° ed il 50° centile, con una lunghezza media di circa 49 cm (</w:t>
      </w:r>
      <w:r>
        <w:rPr>
          <w:rFonts w:eastAsia="Symbol" w:cs="Times New Roman"/>
          <w:bCs/>
          <w:iCs/>
          <w:shd w:val="clear" w:color="auto" w:fill="FFFFFF"/>
        </w:rPr>
        <w:t>range</w:t>
      </w:r>
      <w:r>
        <w:rPr>
          <w:rFonts w:eastAsia="Symbol" w:cs="Times New Roman"/>
          <w:bCs/>
          <w:shd w:val="clear" w:color="auto" w:fill="FFFFFF"/>
        </w:rPr>
        <w:t xml:space="preserve"> 43,9-54,3 cm) ed un peso intorno a 3,2 kg (</w:t>
      </w:r>
      <w:r>
        <w:rPr>
          <w:rFonts w:eastAsia="Symbol" w:cs="Times New Roman"/>
          <w:bCs/>
          <w:iCs/>
          <w:shd w:val="clear" w:color="auto" w:fill="FFFFFF"/>
        </w:rPr>
        <w:t>range</w:t>
      </w:r>
      <w:r>
        <w:rPr>
          <w:rFonts w:eastAsia="Symbol" w:cs="Times New Roman"/>
          <w:bCs/>
          <w:shd w:val="clear" w:color="auto" w:fill="FFFFFF"/>
        </w:rPr>
        <w:t xml:space="preserve"> 2,05-4,28 Kg), mentre per la circonferenza cranica i valori medi sono di 34,2 cm per i maschi e 32,2 cm per le femmine (r</w:t>
      </w:r>
      <w:r>
        <w:rPr>
          <w:rFonts w:eastAsia="Symbol" w:cs="Times New Roman"/>
          <w:bCs/>
          <w:shd w:val="clear" w:color="auto" w:fill="FFFFFF"/>
        </w:rPr>
        <w:t>ange 29-38 cm). Nei primi mesi di vita l'andamento della crescita tende a portarsi ai limiti inferiori di norma per lunghezza e circonferenza cranica mentre scende al di sotto del 3° centile per il peso a causa di gravi problemi nell'alimentazione legati a</w:t>
      </w:r>
      <w:r>
        <w:rPr>
          <w:rFonts w:eastAsia="Symbol" w:cs="Times New Roman"/>
          <w:bCs/>
          <w:shd w:val="clear" w:color="auto" w:fill="FFFFFF"/>
        </w:rPr>
        <w:t>ll'ipotonia generalizzata, al reflusso gastroesofageo (per cui può essere necessario l'uso di sondino naso-gastrico) e alle frequenti infezioni respiratorie. L'età ossea risulta di solito ritardata. I pazienti con RSTS tendono, infine, a sviluppare un aume</w:t>
      </w:r>
      <w:r>
        <w:rPr>
          <w:rFonts w:eastAsia="Symbol" w:cs="Times New Roman"/>
          <w:bCs/>
          <w:shd w:val="clear" w:color="auto" w:fill="FFFFFF"/>
        </w:rPr>
        <w:t>nto ponderale, che nel sesso maschile inizia in epoca prescolare, mentre nel sesso femminile durante la prima adolescenza. Il peso medio finale si colloca al 25-50° centile in entrambi i sessi con un eccesso di adipe localizzato soprattutto a livello addom</w:t>
      </w:r>
      <w:r>
        <w:rPr>
          <w:rFonts w:eastAsia="Symbol" w:cs="Times New Roman"/>
          <w:bCs/>
          <w:shd w:val="clear" w:color="auto" w:fill="FFFFFF"/>
        </w:rPr>
        <w:t>inale. In entrambi i sessi inoltre è assente lo scatto di crescita puberale con altezza media finale pari a 153,1 cm nel sesso maschile e 146,7 cm nel sesso femminile. Il rapporto peso-altezza è pertanto frequentemente superiore al 95° centile. La circonfe</w:t>
      </w:r>
      <w:r>
        <w:rPr>
          <w:rFonts w:eastAsia="Symbol" w:cs="Times New Roman"/>
          <w:bCs/>
          <w:shd w:val="clear" w:color="auto" w:fill="FFFFFF"/>
        </w:rPr>
        <w:t>renza cranica definitiva si aggira intorno a circa 54,7 cm per il maschio e 52,4 cm nella femmina. Anche se sulla base delle conoscenze attuali non sono evidenti significative associazioni genotipo-fenotipo, la microcefalia appare più frequente nei soggett</w:t>
      </w:r>
      <w:r>
        <w:rPr>
          <w:rFonts w:eastAsia="Symbol" w:cs="Times New Roman"/>
          <w:bCs/>
          <w:shd w:val="clear" w:color="auto" w:fill="FFFFFF"/>
        </w:rPr>
        <w:t xml:space="preserve">i con mutazioni in </w:t>
      </w:r>
      <w:r>
        <w:rPr>
          <w:rFonts w:eastAsia="Symbol" w:cs="Times New Roman"/>
          <w:bCs/>
          <w:i/>
          <w:iCs/>
          <w:shd w:val="clear" w:color="auto" w:fill="FFFFFF"/>
        </w:rPr>
        <w:t>CREBBP</w:t>
      </w:r>
      <w:r>
        <w:rPr>
          <w:rFonts w:eastAsia="Symbol" w:cs="Times New Roman"/>
          <w:bCs/>
          <w:shd w:val="clear" w:color="auto" w:fill="FFFFFF"/>
        </w:rPr>
        <w:t xml:space="preserve"> rispetto a quelli con mutazioni in </w:t>
      </w:r>
      <w:r>
        <w:rPr>
          <w:rFonts w:eastAsia="Symbol" w:cs="Times New Roman"/>
          <w:bCs/>
          <w:i/>
          <w:iCs/>
          <w:shd w:val="clear" w:color="auto" w:fill="FFFFFF"/>
        </w:rPr>
        <w:t>EP300</w:t>
      </w:r>
      <w:r>
        <w:rPr>
          <w:rFonts w:eastAsia="Symbol" w:cs="Times New Roman"/>
          <w:bCs/>
          <w:shd w:val="clear" w:color="auto" w:fill="FFFFFF"/>
        </w:rPr>
        <w:t>. Tali parametri non sembrano essere correlati ad alterazioni endocrinologiche riguardanti gli ormoni tiroidei o la somatotropina. Dato l'andamento peculiare della crescita somatica sono dis</w:t>
      </w:r>
      <w:r>
        <w:rPr>
          <w:rFonts w:eastAsia="Symbol" w:cs="Times New Roman"/>
          <w:bCs/>
          <w:shd w:val="clear" w:color="auto" w:fill="FFFFFF"/>
        </w:rPr>
        <w:t>ponibili curve di crescita specifiche per la RSTS, che devono essere utilizzate per valutare in modo adeguato gli affetti.</w:t>
      </w:r>
    </w:p>
    <w:p w:rsidR="0095601D" w:rsidRDefault="0095601D">
      <w:pPr>
        <w:pStyle w:val="Standard"/>
        <w:spacing w:line="360" w:lineRule="auto"/>
        <w:jc w:val="both"/>
      </w:pPr>
    </w:p>
    <w:p w:rsidR="0095601D" w:rsidRDefault="005650AA">
      <w:pPr>
        <w:pStyle w:val="Standard"/>
        <w:pageBreakBefore/>
        <w:spacing w:line="360" w:lineRule="auto"/>
        <w:jc w:val="both"/>
      </w:pPr>
      <w:r>
        <w:rPr>
          <w:rFonts w:eastAsia="Symbol" w:cs="Times New Roman"/>
          <w:bCs/>
          <w:shd w:val="clear" w:color="auto" w:fill="FFFFFF"/>
        </w:rPr>
        <w:lastRenderedPageBreak/>
        <w:t>Curva di crescita staturale, ponderale e della circonferenza cranica nei maschi.</w:t>
      </w:r>
    </w:p>
    <w:p w:rsidR="0095601D" w:rsidRDefault="005650AA">
      <w:pPr>
        <w:pStyle w:val="Standard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20880</wp:posOffset>
            </wp:positionH>
            <wp:positionV relativeFrom="paragraph">
              <wp:posOffset>-16560</wp:posOffset>
            </wp:positionV>
            <wp:extent cx="2916000" cy="4013279"/>
            <wp:effectExtent l="0" t="0" r="5000" b="0"/>
            <wp:wrapSquare wrapText="bothSides"/>
            <wp:docPr id="1" name="Immagin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4013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601D" w:rsidRDefault="005650AA">
      <w:pPr>
        <w:pStyle w:val="Standard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192240</wp:posOffset>
            </wp:positionH>
            <wp:positionV relativeFrom="paragraph">
              <wp:posOffset>3794040</wp:posOffset>
            </wp:positionV>
            <wp:extent cx="3919680" cy="2423160"/>
            <wp:effectExtent l="0" t="0" r="4620" b="2540"/>
            <wp:wrapSquare wrapText="bothSides"/>
            <wp:docPr id="2" name="Immagin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968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134640</wp:posOffset>
            </wp:positionH>
            <wp:positionV relativeFrom="paragraph">
              <wp:posOffset>6313680</wp:posOffset>
            </wp:positionV>
            <wp:extent cx="3897720" cy="2359080"/>
            <wp:effectExtent l="0" t="0" r="1180" b="3120"/>
            <wp:wrapSquare wrapText="bothSides"/>
            <wp:docPr id="3" name="Immagin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7720" cy="235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Symbol" w:cs="Times New Roman"/>
          <w:bCs/>
          <w:shd w:val="clear" w:color="auto" w:fill="FFFFFF"/>
        </w:rPr>
        <w:t xml:space="preserve"> </w:t>
      </w:r>
    </w:p>
    <w:p w:rsidR="0095601D" w:rsidRDefault="005650AA">
      <w:pPr>
        <w:pStyle w:val="Standard"/>
        <w:pageBreakBefore/>
        <w:spacing w:line="360" w:lineRule="auto"/>
        <w:jc w:val="both"/>
      </w:pPr>
      <w:r>
        <w:rPr>
          <w:rFonts w:eastAsia="Symbol" w:cs="Times New Roman"/>
          <w:bCs/>
          <w:shd w:val="clear" w:color="auto" w:fill="FFFFFF"/>
        </w:rPr>
        <w:lastRenderedPageBreak/>
        <w:t xml:space="preserve">Curva di crescita staturale, </w:t>
      </w:r>
      <w:r>
        <w:rPr>
          <w:rFonts w:eastAsia="Symbol" w:cs="Times New Roman"/>
          <w:bCs/>
          <w:shd w:val="clear" w:color="auto" w:fill="FFFFFF"/>
        </w:rPr>
        <w:t>ponderale e della circonferenza cranica nelle femmine.</w:t>
      </w:r>
    </w:p>
    <w:p w:rsidR="0095601D" w:rsidRDefault="005650AA">
      <w:pPr>
        <w:pStyle w:val="Standard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34200</wp:posOffset>
            </wp:positionH>
            <wp:positionV relativeFrom="paragraph">
              <wp:posOffset>-47520</wp:posOffset>
            </wp:positionV>
            <wp:extent cx="2331000" cy="3792960"/>
            <wp:effectExtent l="0" t="0" r="5800" b="4340"/>
            <wp:wrapSquare wrapText="bothSides"/>
            <wp:docPr id="4" name="Immagin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1000" cy="379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119880</wp:posOffset>
            </wp:positionH>
            <wp:positionV relativeFrom="paragraph">
              <wp:posOffset>3837960</wp:posOffset>
            </wp:positionV>
            <wp:extent cx="4207680" cy="2616840"/>
            <wp:effectExtent l="0" t="0" r="0" b="0"/>
            <wp:wrapSquare wrapText="bothSides"/>
            <wp:docPr id="5" name="Immagin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7680" cy="261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162720</wp:posOffset>
            </wp:positionH>
            <wp:positionV relativeFrom="paragraph">
              <wp:posOffset>6550560</wp:posOffset>
            </wp:positionV>
            <wp:extent cx="4098240" cy="2461320"/>
            <wp:effectExtent l="0" t="0" r="3860" b="2480"/>
            <wp:wrapSquare wrapText="bothSides"/>
            <wp:docPr id="6" name="Immagin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8240" cy="246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601D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650AA" w:rsidRDefault="005650AA">
      <w:r>
        <w:separator/>
      </w:r>
    </w:p>
  </w:endnote>
  <w:endnote w:type="continuationSeparator" w:id="0">
    <w:p w:rsidR="005650AA" w:rsidRDefault="00565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, 'Courier New'">
    <w:panose1 w:val="020B0604020202020204"/>
    <w:charset w:val="00"/>
    <w:family w:val="auto"/>
    <w:pitch w:val="variable"/>
  </w:font>
  <w:font w:name="Andale Sans UI">
    <w:panose1 w:val="020B0604020202020204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">
    <w:panose1 w:val="020B0604020202020204"/>
    <w:charset w:val="02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650AA" w:rsidRDefault="005650AA">
      <w:r>
        <w:rPr>
          <w:color w:val="000000"/>
        </w:rPr>
        <w:ptab w:relativeTo="margin" w:alignment="center" w:leader="none"/>
      </w:r>
    </w:p>
  </w:footnote>
  <w:footnote w:type="continuationSeparator" w:id="0">
    <w:p w:rsidR="005650AA" w:rsidRDefault="005650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0C03F27"/>
    <w:multiLevelType w:val="multilevel"/>
    <w:tmpl w:val="0BDA0AFA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Courier New'"/>
        <w:sz w:val="24"/>
        <w:szCs w:val="24"/>
        <w:shd w:val="clear" w:color="auto" w:fill="FFFFFF"/>
      </w:rPr>
    </w:lvl>
    <w:lvl w:ilvl="1">
      <w:numFmt w:val="bullet"/>
      <w:lvlText w:val="◦"/>
      <w:lvlJc w:val="left"/>
      <w:pPr>
        <w:ind w:left="1080" w:hanging="360"/>
      </w:pPr>
      <w:rPr>
        <w:rFonts w:ascii="OpenSymbol, 'Courier New'" w:hAnsi="OpenSymbol, 'Courier New'" w:cs="OpenSymbol, 'Courier New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Courier New'" w:hAnsi="OpenSymbol, 'Courier New'" w:cs="OpenSymbol, 'Courier New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Courier New'"/>
        <w:sz w:val="24"/>
        <w:szCs w:val="24"/>
        <w:shd w:val="clear" w:color="auto" w:fill="FFFFFF"/>
      </w:rPr>
    </w:lvl>
    <w:lvl w:ilvl="4">
      <w:numFmt w:val="bullet"/>
      <w:lvlText w:val="◦"/>
      <w:lvlJc w:val="left"/>
      <w:pPr>
        <w:ind w:left="2160" w:hanging="360"/>
      </w:pPr>
      <w:rPr>
        <w:rFonts w:ascii="OpenSymbol, 'Courier New'" w:hAnsi="OpenSymbol, 'Courier New'" w:cs="OpenSymbol, 'Courier New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Courier New'" w:hAnsi="OpenSymbol, 'Courier New'" w:cs="OpenSymbol, 'Courier New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Courier New'"/>
        <w:sz w:val="24"/>
        <w:szCs w:val="24"/>
        <w:shd w:val="clear" w:color="auto" w:fill="FFFFFF"/>
      </w:rPr>
    </w:lvl>
    <w:lvl w:ilvl="7">
      <w:numFmt w:val="bullet"/>
      <w:lvlText w:val="◦"/>
      <w:lvlJc w:val="left"/>
      <w:pPr>
        <w:ind w:left="3240" w:hanging="360"/>
      </w:pPr>
      <w:rPr>
        <w:rFonts w:ascii="OpenSymbol, 'Courier New'" w:hAnsi="OpenSymbol, 'Courier New'" w:cs="OpenSymbol, 'Courier New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Courier New'" w:hAnsi="OpenSymbol, 'Courier New'" w:cs="OpenSymbol, 'Courier New'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proofState w:spelling="clean" w:grammar="clean"/>
  <w:defaultTabStop w:val="706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95601D"/>
    <w:rsid w:val="00350FB8"/>
    <w:rsid w:val="005650AA"/>
    <w:rsid w:val="00956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EFFD2A03-DE69-2D4A-88D0-8977BCA29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ndale Sans UI" w:hAnsi="Times New Roman" w:cs="Tahoma"/>
        <w:kern w:val="3"/>
        <w:sz w:val="24"/>
        <w:szCs w:val="24"/>
        <w:lang w:val="en-US" w:eastAsia="en-US" w:bidi="en-US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Pr>
      <w:lang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WW8Num2z0">
    <w:name w:val="WW8Num2z0"/>
    <w:rPr>
      <w:rFonts w:ascii="Symbol" w:eastAsia="Symbol" w:hAnsi="Symbol" w:cs="OpenSymbol, 'Courier New'"/>
      <w:sz w:val="24"/>
      <w:szCs w:val="24"/>
      <w:shd w:val="clear" w:color="auto" w:fill="FFFFFF"/>
    </w:rPr>
  </w:style>
  <w:style w:type="character" w:customStyle="1" w:styleId="WW8Num2z1">
    <w:name w:val="WW8Num2z1"/>
    <w:rPr>
      <w:rFonts w:ascii="OpenSymbol, 'Courier New'" w:eastAsia="OpenSymbol, 'Courier New'" w:hAnsi="OpenSymbol, 'Courier New'" w:cs="OpenSymbol, 'Courier New'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8Num2">
    <w:name w:val="WW8Num2"/>
    <w:basedOn w:val="Nessunelenco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346</Words>
  <Characters>1976</Characters>
  <Application>Microsoft Office Word</Application>
  <DocSecurity>0</DocSecurity>
  <Lines>16</Lines>
  <Paragraphs>4</Paragraphs>
  <ScaleCrop>false</ScaleCrop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2021-11-10T09:33:00Z</dcterms:created>
  <dcterms:modified xsi:type="dcterms:W3CDTF">2021-11-10T09:33:00Z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