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28"/>
        </w:tabs>
        <w:spacing w:after="120" w:before="12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/>
          <w:pgMar w:bottom="2041" w:top="709" w:left="1134" w:right="1134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Definizione ed incidenza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sindrome di Rubinstein-Taybi (RSTS tipo 1 OMIM #180849 e tipo 2 OMIM #613684)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è una condizione plurimalformativa con base genetica, descritta per la prima volta nel 1963.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È una condizione ultra-rara, che colpisce circa una persona su 125.000 nati vivi. Non ci sono distinzioni in termini di sesso e etnia, in quanto colpisce in egual misura sia i maschi che le femmine, ed è stata descritta tanto nella razza caucasica quanto nelle popolazioni asiatiche ed africane (sebbene in queste ultime il numero di casi presenti in letteratura sia più esiguo, probabilmente dovuto a motivi socioeconomici e ad un minor numero di pubblicazioni).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Quadro clinico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fenotipo della RSTS è estremamente ampio e variabile da soggetto a soggetto. Il sospetto clinico viene posto in presenza dei seguenti 4 elementi clinici: </w:t>
      </w:r>
      <w:r w:rsidDel="00000000" w:rsidR="00000000" w:rsidRPr="00000000">
        <w:rPr>
          <w:b w:val="0"/>
          <w:u w:val="single"/>
          <w:vertAlign w:val="baseline"/>
          <w:rtl w:val="0"/>
        </w:rPr>
        <w:t xml:space="preserve">tratti peculiari del volto</w:t>
      </w:r>
      <w:r w:rsidDel="00000000" w:rsidR="00000000" w:rsidRPr="00000000">
        <w:rPr>
          <w:vertAlign w:val="baseline"/>
          <w:rtl w:val="0"/>
        </w:rPr>
        <w:t xml:space="preserve"> (che includono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impianto basso anteriore e talvolta posteriore dei capelli, sopracciglia lunghe, ciglia folte, down-slanting delle fessure palpebrali, radice nasale ampia, naso sporgente con columella che si estende oltre le ali nasali, labbra sottili, lieve micrognatia e tipico sorriso “grimacing”),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vertAlign w:val="baseline"/>
          <w:rtl w:val="0"/>
        </w:rPr>
        <w:t xml:space="preserve">pollici ed alluci larghi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ritardo di crescita post-natale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con tendenza a sviluppare sovrappeso ed obesità dall’adolescenza,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ritardo psicomotorio/disabilità intellettiva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di grado moderato che tende a ridursi con l’età.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Si ha inoltre un coinvolgimento multiorgano e multisistemico con diversa gravità clinica. Possono essere presenti: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malformazioni del sistema nervoso centrale: che includono dismorfismi a carico del corpo calloso, del cervelletto e del tronco encefalo, idrocefalo, anomalia di Arnold-Chiari con o senza siringomelia, malformazione di Dandy-Walker, discesa o ancoraggio del cono midollare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anomalie elettroencefalografiche non specifiche con o senza epilessia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difetti ortopedici: rappresentati da scoliosi dai 10 anni, iperlassità legamentosa ed articolare, morbo Perthes-like e malformazioni delle vertebre cervicali con possibile stenosi della giunzione cervicomidollare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anomalie oculari: stenosi dei dotti lacrimali con congiuntiviti ricorrenti, strabismo, miopia e coloboma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problematiche ORL: otiti ricorrenti con possibile ipoacusia sia trasmissiva che neurosensoriale, infezioni respiratorie ricorrenti e apnee ostruttive in sonno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difetti odontoiatrici: cuspidi ad artiglio, denti sovrannumerari ed ipoplasia dello smalto dentale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cardiopatie congenite: di solito costituite da un difetto unico quali pervietà del dotto atriale, difetto interventricolare o interatriale, stenosi della valvola polmonare o aortica, coartazione aortica e cuore sinistro ipoplasico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problematiche gastroenterologiche: reflusso gastroesofageo nei primi mesi di vita e alvo stitico negli anni successivi con possibile megacolon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malformazioni congenite renali con rischio di infezioni ricorrenti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anomalie genitali: criptorchidismo nei maschi e più raramente utero bifido nelle femmine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tendenza alla formazione di cheloidi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aumentato rischio oncologico, sebbene non è noto un istotipo ricorrente.</w:t>
      </w:r>
    </w:p>
    <w:p w:rsidR="00000000" w:rsidDel="00000000" w:rsidP="00000000" w:rsidRDefault="00000000" w:rsidRPr="00000000" w14:paraId="00000015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 oggi, sono infine note alcune minime variazioni nel quadro clinico a seconda del gene mutato sottostante. </w:t>
      </w:r>
    </w:p>
    <w:p w:rsidR="00000000" w:rsidDel="00000000" w:rsidP="00000000" w:rsidRDefault="00000000" w:rsidRPr="00000000" w14:paraId="00000016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1"/>
        </w:numPr>
        <w:tabs>
          <w:tab w:val="left" w:pos="1920"/>
        </w:tabs>
        <w:ind w:left="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Eziologia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Sul piano casuale, la RSTS può essere associata a mutazioni in 2 geni: </w:t>
      </w:r>
      <w:r w:rsidDel="00000000" w:rsidR="00000000" w:rsidRPr="00000000">
        <w:rPr>
          <w:i w:val="1"/>
          <w:vertAlign w:val="baseline"/>
          <w:rtl w:val="0"/>
        </w:rPr>
        <w:t xml:space="preserve">CREBBP</w:t>
      </w:r>
      <w:r w:rsidDel="00000000" w:rsidR="00000000" w:rsidRPr="00000000">
        <w:rPr>
          <w:vertAlign w:val="baseline"/>
          <w:rtl w:val="0"/>
        </w:rPr>
        <w:t xml:space="preserve">, localizzato in posizione 16p13.3, ed </w:t>
      </w:r>
      <w:r w:rsidDel="00000000" w:rsidR="00000000" w:rsidRPr="00000000">
        <w:rPr>
          <w:i w:val="1"/>
          <w:vertAlign w:val="baseline"/>
          <w:rtl w:val="0"/>
        </w:rPr>
        <w:t xml:space="preserve">EP300</w:t>
      </w:r>
      <w:r w:rsidDel="00000000" w:rsidR="00000000" w:rsidRPr="00000000">
        <w:rPr>
          <w:vertAlign w:val="baseline"/>
          <w:rtl w:val="0"/>
        </w:rPr>
        <w:t xml:space="preserve">, localizzato in posizione 22q13.2.</w:t>
      </w:r>
    </w:p>
    <w:p w:rsidR="00000000" w:rsidDel="00000000" w:rsidP="00000000" w:rsidRDefault="00000000" w:rsidRPr="00000000" w14:paraId="00000019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Mutazioni a carico del gene </w:t>
      </w:r>
      <w:r w:rsidDel="00000000" w:rsidR="00000000" w:rsidRPr="00000000">
        <w:rPr>
          <w:i w:val="1"/>
          <w:vertAlign w:val="baseline"/>
          <w:rtl w:val="0"/>
        </w:rPr>
        <w:t xml:space="preserve">CREBBP</w:t>
      </w:r>
      <w:r w:rsidDel="00000000" w:rsidR="00000000" w:rsidRPr="00000000">
        <w:rPr>
          <w:vertAlign w:val="baseline"/>
          <w:rtl w:val="0"/>
        </w:rPr>
        <w:t xml:space="preserve"> sono responsabili di circa il 50-70% delle diagnosi cliniche di RSTS mentre mutazioni a carico del gene </w:t>
      </w:r>
      <w:r w:rsidDel="00000000" w:rsidR="00000000" w:rsidRPr="00000000">
        <w:rPr>
          <w:i w:val="1"/>
          <w:vertAlign w:val="baseline"/>
          <w:rtl w:val="0"/>
        </w:rPr>
        <w:t xml:space="preserve">EP300 </w:t>
      </w:r>
      <w:r w:rsidDel="00000000" w:rsidR="00000000" w:rsidRPr="00000000">
        <w:rPr>
          <w:vertAlign w:val="baseline"/>
          <w:rtl w:val="0"/>
        </w:rPr>
        <w:t xml:space="preserve">sono causative di circa il 5-8% delle diagnosi cliniche. Nella maggioranza dei casi (circa il 74-86%) il difetto molecolare è rappresentato da mutazioni puntiformi con effetto di aploinufficienza (frameshift, nonsenso, missenso) mentre in una minoranza (circa il 14-26%) da riarrangiamenti cromosomici (delezioni, traslocazioni, inversioni).</w:t>
      </w:r>
    </w:p>
    <w:p w:rsidR="00000000" w:rsidDel="00000000" w:rsidP="00000000" w:rsidRDefault="00000000" w:rsidRPr="00000000" w14:paraId="0000001A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circa il 25-30% dei soggetti con diagnosi clinica di RSTS, tuttavia, il difetto molecolare sottostante non viene identificato.</w:t>
      </w:r>
    </w:p>
    <w:p w:rsidR="00000000" w:rsidDel="00000000" w:rsidP="00000000" w:rsidRDefault="00000000" w:rsidRPr="00000000" w14:paraId="0000001B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1"/>
        </w:numPr>
        <w:tabs>
          <w:tab w:val="left" w:pos="1920"/>
        </w:tabs>
        <w:ind w:left="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Follow-up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presa in carico di un paziente con RSTS è necessariamente multidisciplinare. Di seguito sono illustrati gli approfondimenti clinici e strumentali per i pazienti con RSTS in età pediatrica, secondo le Raccomandazioni Italiane.</w:t>
      </w:r>
      <w:r w:rsidDel="00000000" w:rsidR="00000000" w:rsidRPr="00000000">
        <w:rPr>
          <w:rtl w:val="0"/>
        </w:rPr>
      </w:r>
    </w:p>
    <w:tbl>
      <w:tblPr>
        <w:tblStyle w:val="Table1"/>
        <w:tblW w:w="9642.000000000002" w:type="dxa"/>
        <w:jc w:val="left"/>
        <w:tblInd w:w="0.0" w:type="dxa"/>
        <w:tblLayout w:type="fixed"/>
        <w:tblLook w:val="0000"/>
      </w:tblPr>
      <w:tblGrid>
        <w:gridCol w:w="3753"/>
        <w:gridCol w:w="1265"/>
        <w:gridCol w:w="464"/>
        <w:gridCol w:w="576"/>
        <w:gridCol w:w="576"/>
        <w:gridCol w:w="576"/>
        <w:gridCol w:w="576"/>
        <w:gridCol w:w="576"/>
        <w:gridCol w:w="1280"/>
        <w:tblGridChange w:id="0">
          <w:tblGrid>
            <w:gridCol w:w="3753"/>
            <w:gridCol w:w="1265"/>
            <w:gridCol w:w="464"/>
            <w:gridCol w:w="576"/>
            <w:gridCol w:w="576"/>
            <w:gridCol w:w="576"/>
            <w:gridCol w:w="576"/>
            <w:gridCol w:w="576"/>
            <w:gridCol w:w="12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 diagnosi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Adolescenza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Neuroimaging (sistema nervoso centrale e midollo spinale)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neuropsichiatrica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audiologica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oculistica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ortopedica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cardiologica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Imaging renale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odontoiatrica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Visita endocrinologica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19" w:before="227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Qualora emergessero problematiche cliniche, i tempi e le modalità dei successivi controlli verranno indicati dal collega specialista.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2041" w:top="709" w:left="1134" w:right="1134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900" w:hanging="54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after="120" w:before="360" w:line="1" w:lineRule="atLeast"/>
      <w:ind w:left="431" w:right="0" w:leftChars="-1" w:rightChars="0" w:hanging="431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cap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0"/>
      <w:numPr>
        <w:ilvl w:val="3"/>
        <w:numId w:val="1"/>
      </w:numPr>
      <w:tabs>
        <w:tab w:val="left" w:leader="none" w:pos="68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cs="Arial" w:eastAsia="Times New Roman" w:hAnsi="Arial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 Narrow" w:cs="Arial Narrow" w:eastAsia="Times New Roman" w:hAnsi="Arial Narrow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tabs>
        <w:tab w:val="left" w:leader="none" w:pos="1276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 Narrow" w:cs="Arial Narrow" w:eastAsia="Times New Roman" w:hAnsi="Arial Narrow"/>
      <w:b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Normal"/>
    <w:next w:val="Normal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 Narrow" w:cs="Arial Narrow" w:eastAsia="Times New Roman" w:hAnsi="Arial Narrow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"/>
    <w:next w:val="Normal"/>
    <w:autoRedefine w:val="0"/>
    <w:hidden w:val="0"/>
    <w:qFormat w:val="0"/>
    <w:pPr>
      <w:widowControl w:val="1"/>
      <w:numPr>
        <w:ilvl w:val="7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cs="Arial" w:eastAsia="Times New Roman" w:hAnsi="Arial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9">
    <w:name w:val="Titolo 9"/>
    <w:basedOn w:val="Normal"/>
    <w:next w:val="Normal"/>
    <w:autoRedefine w:val="0"/>
    <w:hidden w:val="0"/>
    <w:qFormat w:val="0"/>
    <w:pPr>
      <w:widowControl w:val="1"/>
      <w:numPr>
        <w:ilvl w:val="8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eastAsia="Times New Roman" w:hAnsi="Arial"/>
      <w:b w:val="1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Arial" w:cs="Times New Roman" w:hAnsi="Arial"/>
      <w:b w:val="0"/>
      <w:i w:val="1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Times New Roman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Times New Roman" w:hAnsi="Arial"/>
      <w:b w:val="0"/>
      <w:i w:val="1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Times New Roman" w:hAnsi="Symbol"/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Times New Roman" w:hAnsi="Symbol"/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Arial" w:cs="Times New Roman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Arial" w:cs="Times New Roman" w:hAnsi="Arial"/>
      <w:b w:val="0"/>
      <w:i w:val="1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cs="Times New Roman" w:hAnsi="Arial"/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i w:val="1"/>
      <w:w w:val="100"/>
      <w:position w:val="-1"/>
      <w:sz w:val="26"/>
      <w:u w:val="none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Times New Roman" w:cs="Times New Roman" w:hAnsi="Times New Roman"/>
      <w:b w:val="1"/>
      <w:i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Times New Roman" w:cs="Times New Roman" w:hAnsi="Times New Roman"/>
      <w:b w:val="1"/>
      <w:i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Wingdings" w:cs="Wingdings" w:hAnsi="Wingdings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Arial" w:cs="Times New Roman" w:hAnsi="Arial"/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Arial" w:cs="Times New Roman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Arial" w:cs="Times New Roman" w:hAnsi="Arial"/>
      <w:b w:val="0"/>
      <w:i w:val="1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"/>
    <w:next w:val="Corpodeltes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Normal"/>
    <w:next w:val="Didascalia2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"/>
    <w:next w:val="Corpodeltes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1">
    <w:name w:val="Indice 1"/>
    <w:basedOn w:val="Normal"/>
    <w:next w:val="Normal"/>
    <w:autoRedefine w:val="0"/>
    <w:hidden w:val="0"/>
    <w:qFormat w:val="0"/>
    <w:pPr>
      <w:widowControl w:val="0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2">
    <w:name w:val="Corpo del testo 22"/>
    <w:basedOn w:val="Normal"/>
    <w:next w:val="Corpodeltesto2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normale1">
    <w:name w:val="Testo normale1"/>
    <w:basedOn w:val="Normal"/>
    <w:next w:val="Testonormale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"/>
    <w:next w:val="Corpodeltesto31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isultato">
    <w:name w:val="Risultato"/>
    <w:basedOn w:val="Normal"/>
    <w:next w:val="Risultato"/>
    <w:autoRedefine w:val="0"/>
    <w:hidden w:val="0"/>
    <w:qFormat w:val="0"/>
    <w:pPr>
      <w:widowControl w:val="1"/>
      <w:numPr>
        <w:ilvl w:val="0"/>
        <w:numId w:val="3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"/>
    <w:next w:val="Corpodeltesto21"/>
    <w:autoRedefine w:val="0"/>
    <w:hidden w:val="0"/>
    <w:qFormat w:val="0"/>
    <w:pPr>
      <w:widowControl w:val="1"/>
      <w:tabs>
        <w:tab w:val="left" w:leader="none" w:pos="540"/>
        <w:tab w:val="left" w:leader="none" w:pos="1080"/>
      </w:tabs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2">
    <w:name w:val="Indice 2"/>
    <w:basedOn w:val="Indice"/>
    <w:next w:val="Indice2"/>
    <w:autoRedefine w:val="0"/>
    <w:hidden w:val="0"/>
    <w:qFormat w:val="0"/>
    <w:pPr>
      <w:widowControl w:val="0"/>
      <w:suppressLineNumbers w:val="1"/>
      <w:tabs>
        <w:tab w:val="right" w:leader="dot" w:pos="9355"/>
      </w:tabs>
      <w:suppressAutoHyphens w:val="0"/>
      <w:bidi w:val="0"/>
      <w:spacing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3">
    <w:name w:val="Indice 3"/>
    <w:basedOn w:val="Indice"/>
    <w:next w:val="Indice3"/>
    <w:autoRedefine w:val="0"/>
    <w:hidden w:val="0"/>
    <w:qFormat w:val="0"/>
    <w:pPr>
      <w:widowControl w:val="0"/>
      <w:suppressLineNumbers w:val="1"/>
      <w:tabs>
        <w:tab w:val="right" w:leader="dot" w:pos="9072"/>
      </w:tabs>
      <w:suppressAutoHyphens w:val="0"/>
      <w:bidi w:val="0"/>
      <w:spacing w:line="1" w:lineRule="atLeast"/>
      <w:ind w:left="566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4">
    <w:name w:val="Indice 4"/>
    <w:basedOn w:val="Indice"/>
    <w:next w:val="Indice4"/>
    <w:autoRedefine w:val="0"/>
    <w:hidden w:val="0"/>
    <w:qFormat w:val="0"/>
    <w:pPr>
      <w:widowControl w:val="0"/>
      <w:suppressLineNumbers w:val="1"/>
      <w:tabs>
        <w:tab w:val="right" w:leader="dot" w:pos="8789"/>
      </w:tabs>
      <w:suppressAutoHyphens w:val="0"/>
      <w:bidi w:val="0"/>
      <w:spacing w:line="1" w:lineRule="atLeast"/>
      <w:ind w:left="849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5">
    <w:name w:val="Indice 5"/>
    <w:basedOn w:val="Indice"/>
    <w:next w:val="Indice5"/>
    <w:autoRedefine w:val="0"/>
    <w:hidden w:val="0"/>
    <w:qFormat w:val="0"/>
    <w:pPr>
      <w:widowControl w:val="0"/>
      <w:suppressLineNumbers w:val="1"/>
      <w:tabs>
        <w:tab w:val="right" w:leader="dot" w:pos="8506"/>
      </w:tabs>
      <w:suppressAutoHyphens w:val="0"/>
      <w:bidi w:val="0"/>
      <w:spacing w:line="1" w:lineRule="atLeast"/>
      <w:ind w:left="1132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6">
    <w:name w:val="Indice 6"/>
    <w:basedOn w:val="Indice"/>
    <w:next w:val="Indice6"/>
    <w:autoRedefine w:val="0"/>
    <w:hidden w:val="0"/>
    <w:qFormat w:val="0"/>
    <w:pPr>
      <w:widowControl w:val="0"/>
      <w:suppressLineNumbers w:val="1"/>
      <w:tabs>
        <w:tab w:val="right" w:leader="dot" w:pos="8223"/>
      </w:tabs>
      <w:suppressAutoHyphens w:val="0"/>
      <w:bidi w:val="0"/>
      <w:spacing w:line="1" w:lineRule="atLeast"/>
      <w:ind w:left="1415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7">
    <w:name w:val="Indice 7"/>
    <w:basedOn w:val="Indice"/>
    <w:next w:val="Indice7"/>
    <w:autoRedefine w:val="0"/>
    <w:hidden w:val="0"/>
    <w:qFormat w:val="0"/>
    <w:pPr>
      <w:widowControl w:val="0"/>
      <w:suppressLineNumbers w:val="1"/>
      <w:tabs>
        <w:tab w:val="right" w:leader="dot" w:pos="7940"/>
      </w:tabs>
      <w:suppressAutoHyphens w:val="0"/>
      <w:bidi w:val="0"/>
      <w:spacing w:line="1" w:lineRule="atLeast"/>
      <w:ind w:left="1698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8">
    <w:name w:val="Indice 8"/>
    <w:basedOn w:val="Indice"/>
    <w:next w:val="Indice8"/>
    <w:autoRedefine w:val="0"/>
    <w:hidden w:val="0"/>
    <w:qFormat w:val="0"/>
    <w:pPr>
      <w:widowControl w:val="0"/>
      <w:suppressLineNumbers w:val="1"/>
      <w:tabs>
        <w:tab w:val="right" w:leader="dot" w:pos="7657"/>
      </w:tabs>
      <w:suppressAutoHyphens w:val="0"/>
      <w:bidi w:val="0"/>
      <w:spacing w:line="1" w:lineRule="atLeast"/>
      <w:ind w:left="1981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9">
    <w:name w:val="Indice 9"/>
    <w:basedOn w:val="Indice"/>
    <w:next w:val="Indice9"/>
    <w:autoRedefine w:val="0"/>
    <w:hidden w:val="0"/>
    <w:qFormat w:val="0"/>
    <w:pPr>
      <w:widowControl w:val="0"/>
      <w:suppressLineNumbers w:val="1"/>
      <w:tabs>
        <w:tab w:val="right" w:leader="dot" w:pos="7374"/>
      </w:tabs>
      <w:suppressAutoHyphens w:val="0"/>
      <w:bidi w:val="0"/>
      <w:spacing w:line="1" w:lineRule="atLeast"/>
      <w:ind w:left="2264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10">
    <w:name w:val="Indice 10"/>
    <w:basedOn w:val="Indice"/>
    <w:next w:val="Indice10"/>
    <w:autoRedefine w:val="0"/>
    <w:hidden w:val="0"/>
    <w:qFormat w:val="0"/>
    <w:pPr>
      <w:widowControl w:val="0"/>
      <w:suppressLineNumbers w:val="1"/>
      <w:tabs>
        <w:tab w:val="right" w:leader="dot" w:pos="7091"/>
      </w:tabs>
      <w:suppressAutoHyphens w:val="0"/>
      <w:bidi w:val="0"/>
      <w:spacing w:line="1" w:lineRule="atLeast"/>
      <w:ind w:left="2547" w:right="0" w:leftChars="-1" w:rightChars="0" w:firstLine="0" w:firstLineChars="-1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3">
    <w:name w:val="Corpo del testo 23"/>
    <w:basedOn w:val="Normal"/>
    <w:next w:val="Corpodeltesto23"/>
    <w:autoRedefine w:val="0"/>
    <w:hidden w:val="0"/>
    <w:qFormat w:val="0"/>
    <w:pPr>
      <w:widowControl w:val="0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le">
    <w:name w:val="title"/>
    <w:basedOn w:val="Normal"/>
    <w:next w:val="title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2014-01-03T13:44:00Z</dcterms:created>
  <dc:creator>guzzi_adriana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